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CD82" w14:textId="7FCA9DFC" w:rsidR="006E53DD" w:rsidRDefault="00362E59" w:rsidP="00362E59">
      <w:pPr>
        <w:pStyle w:val="NormalWeb"/>
        <w:spacing w:line="276" w:lineRule="auto"/>
        <w:rPr>
          <w:rFonts w:ascii="Calibri" w:hAnsi="Calibri" w:cs="Calibri"/>
          <w:color w:val="666666"/>
          <w:sz w:val="20"/>
          <w:szCs w:val="20"/>
          <w:shd w:val="clear" w:color="auto" w:fill="FFFFFF"/>
        </w:rPr>
      </w:pPr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If a full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class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conversation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does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not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fit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your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group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well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learning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strategies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allow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your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students to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use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target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discover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recognise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examples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text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make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use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examples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reflect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upon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topic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at hand as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well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.</w:t>
      </w:r>
    </w:p>
    <w:p w14:paraId="4CEB8957" w14:textId="77777777" w:rsidR="00362E59" w:rsidRDefault="00362E59" w:rsidP="00362E59">
      <w:pPr>
        <w:spacing w:after="0"/>
        <w:ind w:left="15"/>
        <w:rPr>
          <w:rFonts w:eastAsia="Calibri" w:cs="Calibri"/>
          <w:color w:val="2E5496"/>
          <w:sz w:val="32"/>
          <w:lang w:val="en-US"/>
        </w:rPr>
      </w:pPr>
    </w:p>
    <w:p w14:paraId="0514FDDC" w14:textId="77777777" w:rsidR="00362E59" w:rsidRDefault="00362E59" w:rsidP="00362E59">
      <w:pPr>
        <w:spacing w:after="0"/>
        <w:ind w:left="15"/>
        <w:rPr>
          <w:rFonts w:eastAsia="Calibri" w:cs="Calibri"/>
          <w:color w:val="2E5496"/>
          <w:sz w:val="32"/>
          <w:lang w:val="en-US"/>
        </w:rPr>
      </w:pPr>
    </w:p>
    <w:p w14:paraId="728A0F80" w14:textId="77777777" w:rsidR="00362E59" w:rsidRPr="00362E59" w:rsidRDefault="00362E59" w:rsidP="00362E59">
      <w:pPr>
        <w:shd w:val="clear" w:color="auto" w:fill="FFFFFF"/>
        <w:spacing w:after="0" w:line="240" w:lineRule="atLeast"/>
        <w:textAlignment w:val="baseline"/>
        <w:outlineLvl w:val="3"/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</w:pP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Creating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language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identity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map</w:t>
      </w:r>
    </w:p>
    <w:p w14:paraId="79DCCBE7" w14:textId="77777777" w:rsidR="00362E59" w:rsidRDefault="00362E59" w:rsidP="00362E59">
      <w:pPr>
        <w:spacing w:line="276" w:lineRule="auto"/>
        <w:rPr>
          <w:rFonts w:cs="Times New Roman"/>
          <w:color w:val="202124"/>
          <w:sz w:val="24"/>
          <w:szCs w:val="24"/>
          <w:shd w:val="clear" w:color="auto" w:fill="FFFFFF"/>
        </w:rPr>
      </w:pPr>
    </w:p>
    <w:p w14:paraId="38668614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0"/>
          <w:szCs w:val="20"/>
        </w:rPr>
      </w:pPr>
      <w:r w:rsidRPr="00362E59">
        <w:rPr>
          <w:rFonts w:ascii="Calibri" w:hAnsi="Calibri" w:cs="Calibri"/>
          <w:color w:val="666666"/>
          <w:sz w:val="20"/>
          <w:szCs w:val="20"/>
        </w:rPr>
        <w:t xml:space="preserve">One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aim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is relevant for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both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lower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upper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secondary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challenges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students to “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explore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describe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some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linguistic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similarities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differences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between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other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(…) (LK20).</w:t>
      </w:r>
    </w:p>
    <w:p w14:paraId="5032812F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0"/>
          <w:szCs w:val="20"/>
        </w:rPr>
      </w:pP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Initially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working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with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title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poem is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interest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 One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could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argue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term “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mother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tongue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” has lost or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altered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meaning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in later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years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>.</w:t>
      </w:r>
    </w:p>
    <w:p w14:paraId="0D595198" w14:textId="77777777" w:rsidR="00362E59" w:rsidRPr="00362E59" w:rsidRDefault="00362E59" w:rsidP="00362E59">
      <w:pPr>
        <w:spacing w:line="276" w:lineRule="auto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2886161A" w14:textId="1B90F0B3" w:rsidR="00362E59" w:rsidRDefault="00362E59" w:rsidP="00362E59">
      <w:pPr>
        <w:spacing w:line="276" w:lineRule="auto"/>
        <w:rPr>
          <w:rFonts w:ascii="Calibri" w:hAnsi="Calibri" w:cs="Calibri"/>
          <w:color w:val="666666"/>
          <w:sz w:val="20"/>
          <w:szCs w:val="20"/>
          <w:shd w:val="clear" w:color="auto" w:fill="FFFFFF"/>
        </w:rPr>
      </w:pP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Having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students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map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out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class’s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first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mother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tongues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, 2</w:t>
      </w:r>
      <w:proofErr w:type="gramStart"/>
      <w:r w:rsidRPr="00362E59">
        <w:rPr>
          <w:rFonts w:ascii="Calibri" w:hAnsi="Calibri" w:cs="Calibri"/>
          <w:color w:val="666666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nd </w:t>
      </w:r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,</w:t>
      </w:r>
      <w:proofErr w:type="gram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perhaps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even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3</w:t>
      </w:r>
      <w:r w:rsidRPr="00362E59">
        <w:rPr>
          <w:rFonts w:ascii="Calibri" w:hAnsi="Calibri" w:cs="Calibri"/>
          <w:color w:val="666666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rd</w:t>
      </w:r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depict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diversity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spoken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mastered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within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classroom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. It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also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illustrates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how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globalised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multicultural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affects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alters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. How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many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students have a different first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than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their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parents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? Do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code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switch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between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when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talking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? Are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differences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between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their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ethnolect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sociolect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geolect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? By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comparing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their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own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experiences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ones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commented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upon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poem,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their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own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idiolect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become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interesting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more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value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them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.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visual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or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creative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product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like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teaching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trail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above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has, underlines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recognition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various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idiolects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classroom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. Thus,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pamphlet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sway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an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audio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file, a PP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with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talking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head,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word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cloud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, or a collage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illustrating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ingredients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making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up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students’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idiolect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could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work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well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  <w:shd w:val="clear" w:color="auto" w:fill="FFFFFF"/>
        </w:rPr>
        <w:t>.</w:t>
      </w:r>
    </w:p>
    <w:p w14:paraId="7CDE5914" w14:textId="77777777" w:rsidR="00362E59" w:rsidRDefault="00362E59" w:rsidP="00362E59">
      <w:pPr>
        <w:spacing w:line="276" w:lineRule="auto"/>
        <w:rPr>
          <w:rFonts w:ascii="Calibri" w:hAnsi="Calibri" w:cs="Calibri"/>
          <w:color w:val="666666"/>
          <w:sz w:val="20"/>
          <w:szCs w:val="20"/>
          <w:shd w:val="clear" w:color="auto" w:fill="FFFFFF"/>
        </w:rPr>
      </w:pPr>
    </w:p>
    <w:p w14:paraId="53A90C0D" w14:textId="77777777" w:rsidR="00362E59" w:rsidRDefault="00362E59" w:rsidP="00362E59">
      <w:pPr>
        <w:spacing w:line="276" w:lineRule="auto"/>
        <w:rPr>
          <w:rFonts w:ascii="Calibri" w:hAnsi="Calibri" w:cs="Calibri"/>
          <w:color w:val="666666"/>
          <w:sz w:val="20"/>
          <w:szCs w:val="20"/>
          <w:shd w:val="clear" w:color="auto" w:fill="FFFFFF"/>
        </w:rPr>
      </w:pPr>
    </w:p>
    <w:p w14:paraId="22861522" w14:textId="77777777" w:rsidR="00362E59" w:rsidRPr="00362E59" w:rsidRDefault="00362E59" w:rsidP="00362E59">
      <w:pPr>
        <w:shd w:val="clear" w:color="auto" w:fill="FFFFFF"/>
        <w:spacing w:after="0" w:line="240" w:lineRule="atLeast"/>
        <w:textAlignment w:val="baseline"/>
        <w:outlineLvl w:val="3"/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</w:pP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Kachru’s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circle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–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infographics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, multimodal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texts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facts</w:t>
      </w:r>
      <w:proofErr w:type="spellEnd"/>
    </w:p>
    <w:p w14:paraId="68705895" w14:textId="77777777" w:rsidR="00362E59" w:rsidRDefault="00362E59" w:rsidP="00362E59">
      <w:pPr>
        <w:spacing w:line="276" w:lineRule="auto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3A4DEEC3" w14:textId="77777777" w:rsid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0"/>
          <w:szCs w:val="20"/>
        </w:rPr>
      </w:pP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Furthermore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an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interesting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approach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to </w:t>
      </w:r>
      <w:proofErr w:type="gramStart"/>
      <w:r w:rsidRPr="00362E59">
        <w:rPr>
          <w:rFonts w:ascii="Calibri" w:hAnsi="Calibri" w:cs="Calibri"/>
          <w:color w:val="666666"/>
          <w:sz w:val="20"/>
          <w:szCs w:val="20"/>
        </w:rPr>
        <w:t>English and</w:t>
      </w:r>
      <w:proofErr w:type="gram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reach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but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also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development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suits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this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topic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common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model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use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Kachru’s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circle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Kachru’s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circle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illustrates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 speakers all over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and,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among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other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things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fact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more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people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this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speaking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 as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their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second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third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first. Thus,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one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assume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speakers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influence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development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severely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 The students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read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this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graphic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model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study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points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comment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upon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aspects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as; Who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owns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English?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could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happen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to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when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it is used all over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? Will English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become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filled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with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grammatical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errors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simple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vocabulary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as it is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foreign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users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who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holds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majority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?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happens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to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lingua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franca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it is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spread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to all corners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develops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differently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– like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matter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Englishes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>?</w:t>
      </w:r>
    </w:p>
    <w:p w14:paraId="55C236D6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0"/>
          <w:szCs w:val="20"/>
        </w:rPr>
      </w:pPr>
    </w:p>
    <w:p w14:paraId="5ACD89E0" w14:textId="16BE902E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0"/>
          <w:szCs w:val="20"/>
        </w:rPr>
      </w:pPr>
      <w:r w:rsidRPr="00362E59">
        <w:rPr>
          <w:rFonts w:ascii="Calibri" w:hAnsi="Calibri" w:cs="Calibri"/>
          <w:color w:val="666666"/>
          <w:sz w:val="20"/>
          <w:szCs w:val="20"/>
        </w:rPr>
        <w:t xml:space="preserve">In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groups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students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may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reflect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upon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given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thesis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statements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create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texts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verbal or multimodal,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that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illustrates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situation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possible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outcomes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>/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predictions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 For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example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“The English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will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never be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dethroned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world’s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lingua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franca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.”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Possible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products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could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interviews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where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students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take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different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roles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–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experts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worried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teacher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host,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could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draw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cause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(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possible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)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effects-map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give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presentation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write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article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or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produce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 “The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history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future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of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the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 English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 xml:space="preserve">” </w:t>
      </w:r>
      <w:proofErr w:type="spellStart"/>
      <w:r w:rsidRPr="00362E59">
        <w:rPr>
          <w:rFonts w:ascii="Calibri" w:hAnsi="Calibri" w:cs="Calibri"/>
          <w:color w:val="666666"/>
          <w:sz w:val="20"/>
          <w:szCs w:val="20"/>
        </w:rPr>
        <w:t>montage</w:t>
      </w:r>
      <w:proofErr w:type="spellEnd"/>
      <w:r w:rsidRPr="00362E59">
        <w:rPr>
          <w:rFonts w:ascii="Calibri" w:hAnsi="Calibri" w:cs="Calibri"/>
          <w:color w:val="666666"/>
          <w:sz w:val="20"/>
          <w:szCs w:val="20"/>
        </w:rPr>
        <w:t>.</w:t>
      </w:r>
    </w:p>
    <w:p w14:paraId="563AC5D7" w14:textId="77777777" w:rsidR="00362E59" w:rsidRDefault="00362E59" w:rsidP="00362E59">
      <w:pPr>
        <w:spacing w:line="276" w:lineRule="auto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7EF6BA4F" w14:textId="77777777" w:rsidR="00362E59" w:rsidRDefault="00362E59" w:rsidP="00362E59">
      <w:pPr>
        <w:spacing w:line="276" w:lineRule="auto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3A83A05D" w14:textId="77777777" w:rsidR="00362E59" w:rsidRPr="00362E59" w:rsidRDefault="00362E59" w:rsidP="00362E59">
      <w:pPr>
        <w:shd w:val="clear" w:color="auto" w:fill="FFFFFF"/>
        <w:spacing w:after="0" w:line="240" w:lineRule="atLeast"/>
        <w:textAlignment w:val="baseline"/>
        <w:outlineLvl w:val="3"/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</w:pP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lastRenderedPageBreak/>
        <w:t>Multilingualism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language</w:t>
      </w:r>
      <w:proofErr w:type="spellEnd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362E59">
        <w:rPr>
          <w:rFonts w:ascii="Ubuntu" w:eastAsia="Times New Roman" w:hAnsi="Ubuntu" w:cs="Times New Roman"/>
          <w:color w:val="215E99" w:themeColor="text2" w:themeTint="BF"/>
          <w:kern w:val="0"/>
          <w:sz w:val="27"/>
          <w:szCs w:val="27"/>
          <w:lang w:eastAsia="nb-NO"/>
          <w14:ligatures w14:val="none"/>
        </w:rPr>
        <w:t>culture</w:t>
      </w:r>
      <w:proofErr w:type="spellEnd"/>
    </w:p>
    <w:p w14:paraId="276CE55B" w14:textId="77777777" w:rsidR="00362E59" w:rsidRDefault="00362E59" w:rsidP="00362E59">
      <w:pPr>
        <w:spacing w:line="276" w:lineRule="auto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079BB08E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2"/>
          <w:szCs w:val="22"/>
        </w:rPr>
      </w:pPr>
      <w:r w:rsidRPr="00362E59">
        <w:rPr>
          <w:rFonts w:ascii="Calibri" w:hAnsi="Calibri" w:cs="Calibri"/>
          <w:color w:val="666666"/>
          <w:sz w:val="22"/>
          <w:szCs w:val="22"/>
        </w:rPr>
        <w:t xml:space="preserve">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addition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students’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own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multilingualism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is part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aims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It is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difficult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aim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address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teachers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seldom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speak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all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spoken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their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classrooms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Normally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a vast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majority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students in Norwegian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classrooms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learn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either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German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French or Spanish 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school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addition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may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lucky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have for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instance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Polish 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Arabic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represented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An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interesting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task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do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accommodate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aim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using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students’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own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is to present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with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translated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versions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same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texts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see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make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sense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For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example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through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knowing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Norwegian, English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German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–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how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much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 student understand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from a Harry Potter book in Dutch? If given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German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version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same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does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help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>?</w:t>
      </w:r>
    </w:p>
    <w:p w14:paraId="7AD0F4CD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2"/>
          <w:szCs w:val="22"/>
        </w:rPr>
      </w:pP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Instead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doing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linguistic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approach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previous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suggestion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also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do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cultural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approach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How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are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metaphors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similes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contrasts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typically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given 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If, in a Norwegian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text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someone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compared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a troll,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what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equivalent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in an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Asian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Irish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fairytale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?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Through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working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with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texts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in different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like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this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making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use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students’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linguistic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can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illustrate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obvious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gramStart"/>
      <w:r w:rsidRPr="00362E59">
        <w:rPr>
          <w:rFonts w:ascii="Calibri" w:hAnsi="Calibri" w:cs="Calibri"/>
          <w:color w:val="666666"/>
          <w:sz w:val="22"/>
          <w:szCs w:val="22"/>
        </w:rPr>
        <w:t>link</w:t>
      </w:r>
      <w:proofErr w:type="gram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between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culture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well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–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their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understanding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multilingualism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It is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fairly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easy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obtain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countries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’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mythological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or folklore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texts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for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example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By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comparing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content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myths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or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fairy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tales, students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may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learn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 lot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about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countries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cultures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An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example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comparing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contrasting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Jewish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golem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Japanese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oni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Irish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leprechauns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Germanic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goblins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>.</w:t>
      </w:r>
    </w:p>
    <w:p w14:paraId="3D4C45AC" w14:textId="77777777" w:rsidR="00362E59" w:rsidRPr="00362E59" w:rsidRDefault="00362E59" w:rsidP="00362E5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666666"/>
          <w:sz w:val="22"/>
          <w:szCs w:val="22"/>
        </w:rPr>
      </w:pP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typical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approaches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here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related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swearing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words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in different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ways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greet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people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When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addressing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how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culture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is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tightly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knit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together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–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bridge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aims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intercultural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is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reasonable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embark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on.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Additionally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it is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stated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that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this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trail’s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outcome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mount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into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other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products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as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well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. One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possibility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would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create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tutorials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requiring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students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use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target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language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competence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have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acquired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throughout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working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topic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with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poem. The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tutorial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may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be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multilingual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phenomenon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how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to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speak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their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ethnolect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sociolect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chronolect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,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version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English or a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comparison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current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acrolect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and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their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own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way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of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 xml:space="preserve"> </w:t>
      </w:r>
      <w:proofErr w:type="spellStart"/>
      <w:r w:rsidRPr="00362E59">
        <w:rPr>
          <w:rFonts w:ascii="Calibri" w:hAnsi="Calibri" w:cs="Calibri"/>
          <w:color w:val="666666"/>
          <w:sz w:val="22"/>
          <w:szCs w:val="22"/>
        </w:rPr>
        <w:t>speaking</w:t>
      </w:r>
      <w:proofErr w:type="spellEnd"/>
      <w:r w:rsidRPr="00362E59">
        <w:rPr>
          <w:rFonts w:ascii="Calibri" w:hAnsi="Calibri" w:cs="Calibri"/>
          <w:color w:val="666666"/>
          <w:sz w:val="22"/>
          <w:szCs w:val="22"/>
        </w:rPr>
        <w:t>.</w:t>
      </w:r>
    </w:p>
    <w:p w14:paraId="0A78C465" w14:textId="77777777" w:rsidR="00362E59" w:rsidRPr="00362E59" w:rsidRDefault="00362E59" w:rsidP="00362E59">
      <w:pPr>
        <w:spacing w:line="276" w:lineRule="auto"/>
        <w:rPr>
          <w:rFonts w:ascii="Calibri" w:hAnsi="Calibri" w:cs="Calibri"/>
          <w:color w:val="202124"/>
          <w:shd w:val="clear" w:color="auto" w:fill="FFFFFF"/>
        </w:rPr>
      </w:pPr>
    </w:p>
    <w:p w14:paraId="136C7647" w14:textId="77777777" w:rsidR="00362E59" w:rsidRPr="00362E59" w:rsidRDefault="00362E59" w:rsidP="00362E59">
      <w:pPr>
        <w:pStyle w:val="NormalWeb"/>
        <w:spacing w:line="276" w:lineRule="auto"/>
        <w:rPr>
          <w:rFonts w:ascii="Calibri" w:hAnsi="Calibri" w:cs="Calibri"/>
          <w:sz w:val="22"/>
          <w:szCs w:val="22"/>
          <w:lang w:val="nn-NO"/>
        </w:rPr>
      </w:pPr>
    </w:p>
    <w:sectPr w:rsidR="00362E59" w:rsidRPr="0036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132CA4"/>
    <w:rsid w:val="00175190"/>
    <w:rsid w:val="00292302"/>
    <w:rsid w:val="00297243"/>
    <w:rsid w:val="00306CE6"/>
    <w:rsid w:val="003207B9"/>
    <w:rsid w:val="00350C09"/>
    <w:rsid w:val="00354057"/>
    <w:rsid w:val="00362E59"/>
    <w:rsid w:val="004F15ED"/>
    <w:rsid w:val="00574608"/>
    <w:rsid w:val="00590D36"/>
    <w:rsid w:val="006E53DD"/>
    <w:rsid w:val="007E453D"/>
    <w:rsid w:val="0083147D"/>
    <w:rsid w:val="008B6A66"/>
    <w:rsid w:val="00A008E4"/>
    <w:rsid w:val="00A11298"/>
    <w:rsid w:val="00AD6E18"/>
    <w:rsid w:val="00B13A45"/>
    <w:rsid w:val="00B30AF7"/>
    <w:rsid w:val="00B612AB"/>
    <w:rsid w:val="00B85922"/>
    <w:rsid w:val="00BD1E6B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Tegn"/>
    <w:rsid w:val="00A008E4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egn">
    <w:name w:val="EndNote Bibliography Tegn"/>
    <w:basedOn w:val="Standardskriftforavsnitt"/>
    <w:link w:val="EndNoteBibliography"/>
    <w:rsid w:val="00A008E4"/>
    <w:rPr>
      <w:rFonts w:ascii="Calibri" w:hAnsi="Calibri" w:cs="Calibri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4649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2025-09-05T11:19:00Z</dcterms:created>
  <dcterms:modified xsi:type="dcterms:W3CDTF">2025-09-05T11:19:00Z</dcterms:modified>
</cp:coreProperties>
</file>