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39F9" w14:textId="77777777" w:rsidR="00292302" w:rsidRPr="00AD6E18" w:rsidRDefault="00292302" w:rsidP="00292302">
      <w:pPr>
        <w:spacing w:after="0"/>
        <w:ind w:left="15"/>
        <w:rPr>
          <w:lang w:val="en-US"/>
        </w:rPr>
      </w:pPr>
      <w:r w:rsidRPr="00AD6E18">
        <w:rPr>
          <w:rFonts w:eastAsia="Calibri" w:cs="Calibri"/>
          <w:color w:val="2E5496"/>
          <w:sz w:val="32"/>
          <w:lang w:val="en-US"/>
        </w:rPr>
        <w:t>Kilder</w:t>
      </w:r>
    </w:p>
    <w:p w14:paraId="776EF2F8" w14:textId="77777777" w:rsidR="007E453D" w:rsidRPr="00354057" w:rsidRDefault="007E453D" w:rsidP="007E453D">
      <w:pPr>
        <w:spacing w:after="0"/>
        <w:rPr>
          <w:rFonts w:ascii="Calibri" w:hAnsi="Calibri" w:cs="Calibri"/>
          <w:b/>
          <w:bCs/>
          <w:color w:val="000000" w:themeColor="text1"/>
          <w:sz w:val="28"/>
          <w:szCs w:val="28"/>
          <w:lang w:val="en-US"/>
        </w:rPr>
      </w:pPr>
    </w:p>
    <w:p w14:paraId="3FAF1C12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</w:pPr>
      <w:r w:rsidRPr="00354057">
        <w:rPr>
          <w:rFonts w:ascii="Calibri" w:eastAsia="Times New Roman" w:hAnsi="Calibri" w:cs="Calibri"/>
          <w:sz w:val="24"/>
          <w:szCs w:val="24"/>
        </w:rPr>
        <w:t xml:space="preserve">Andersson-Bakken, E. (2015). Når åpne spørsmål ikke er åpne: – Hva karakteriserer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</w:rPr>
        <w:t>lærerspørsmål</w:t>
      </w:r>
      <w:proofErr w:type="spellEnd"/>
      <w:r w:rsidRPr="00354057">
        <w:rPr>
          <w:rFonts w:ascii="Calibri" w:eastAsia="Times New Roman" w:hAnsi="Calibri" w:cs="Calibri"/>
          <w:sz w:val="24"/>
          <w:szCs w:val="24"/>
        </w:rPr>
        <w:t xml:space="preserve"> i en litterær samtale? </w:t>
      </w: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When open questions are not open: What characterizes teacher questions in a literary conversation?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Nordic studies in education</w:t>
      </w: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,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35</w:t>
      </w: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(3–4), 280–298. </w:t>
      </w:r>
      <w:hyperlink r:id="rId4">
        <w:r w:rsidRPr="00354057">
          <w:rPr>
            <w:rStyle w:val="Hyperkobling"/>
            <w:rFonts w:ascii="Calibri" w:eastAsia="Times New Roman" w:hAnsi="Calibri" w:cs="Calibri"/>
            <w:sz w:val="24"/>
            <w:szCs w:val="24"/>
            <w:lang w:val="en-GB"/>
          </w:rPr>
          <w:t>https://doi.org/10.18261/ISSN1891-5949-2015-03-04-09</w:t>
        </w:r>
      </w:hyperlink>
    </w:p>
    <w:p w14:paraId="3BD4B6CE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color w:val="000000" w:themeColor="text1"/>
          <w:sz w:val="24"/>
          <w:szCs w:val="24"/>
          <w:lang w:val="da-DK"/>
        </w:rPr>
      </w:pPr>
      <w:proofErr w:type="spellStart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>Blikstad</w:t>
      </w:r>
      <w:proofErr w:type="spellEnd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-Balas, M. &amp; Roe, A. (2020). </w:t>
      </w:r>
      <w:r w:rsidRPr="00354057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Hva foregår i norsktimene? Utfordringer og muligheter i norskfaget på ungdomstrinnet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. 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da-DK"/>
        </w:rPr>
        <w:t>Universitetsforlaget.</w:t>
      </w:r>
    </w:p>
    <w:p w14:paraId="6A75D5A0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da-DK"/>
        </w:rPr>
      </w:pPr>
      <w:proofErr w:type="spellStart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da-DK"/>
        </w:rPr>
        <w:t>Dysthe</w:t>
      </w:r>
      <w:proofErr w:type="spellEnd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da-DK"/>
        </w:rPr>
        <w:t xml:space="preserve">, O. (2020). </w:t>
      </w:r>
      <w:r w:rsidRPr="00354057">
        <w:rPr>
          <w:rFonts w:ascii="Calibri" w:eastAsia="Times New Roman" w:hAnsi="Calibri" w:cs="Calibri"/>
          <w:color w:val="3A3A3A"/>
          <w:sz w:val="24"/>
          <w:szCs w:val="24"/>
          <w:lang w:val="da-DK"/>
        </w:rPr>
        <w:t xml:space="preserve">Lærerens betydning </w:t>
      </w:r>
      <w:r w:rsidRPr="00354057">
        <w:rPr>
          <w:rFonts w:ascii="Calibri" w:eastAsia="Times New Roman" w:hAnsi="Calibri" w:cs="Calibri"/>
          <w:sz w:val="24"/>
          <w:szCs w:val="24"/>
          <w:lang w:val="da-DK"/>
        </w:rPr>
        <w:t>og</w:t>
      </w:r>
      <w:r w:rsidRPr="00354057">
        <w:rPr>
          <w:rFonts w:ascii="Calibri" w:eastAsia="Times New Roman" w:hAnsi="Calibri" w:cs="Calibri"/>
          <w:color w:val="3A3A3A"/>
          <w:sz w:val="24"/>
          <w:szCs w:val="24"/>
          <w:lang w:val="da-DK"/>
        </w:rPr>
        <w:t xml:space="preserve"> rolle </w:t>
      </w:r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i dialogisk </w:t>
      </w:r>
      <w:proofErr w:type="gram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pædagogik</w:t>
      </w:r>
      <w:r w:rsidRPr="00354057">
        <w:rPr>
          <w:rFonts w:ascii="Calibri" w:eastAsia="Times New Roman" w:hAnsi="Calibri" w:cs="Calibri"/>
          <w:color w:val="3A3A3A"/>
          <w:sz w:val="24"/>
          <w:szCs w:val="24"/>
          <w:lang w:val="da-DK"/>
        </w:rPr>
        <w:t xml:space="preserve"> :</w:t>
      </w:r>
      <w:proofErr w:type="gramEnd"/>
      <w:r w:rsidRPr="00354057">
        <w:rPr>
          <w:rFonts w:ascii="Calibri" w:eastAsia="Times New Roman" w:hAnsi="Calibri" w:cs="Calibri"/>
          <w:color w:val="3A3A3A"/>
          <w:sz w:val="24"/>
          <w:szCs w:val="24"/>
          <w:lang w:val="da-DK"/>
        </w:rPr>
        <w:t xml:space="preserve"> casestudie fra en præstationsorienteret skolevirkelighed. I</w:t>
      </w:r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 O.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Dysthe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, I. J. Ness &amp; P. O. Kirkegaard,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da-DK"/>
        </w:rPr>
        <w:t>Dialogisk pædagogik, kreativitet og læring</w:t>
      </w:r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 (C. H.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Rickmann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 &amp; L.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Rindholt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>, Trans.; 1. udgave). Klim.</w:t>
      </w:r>
    </w:p>
    <w:p w14:paraId="45913E54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da-DK"/>
        </w:rPr>
      </w:pP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Dysthe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>, O., Ness, I. J. &amp; Kirkegaard, P. O. (2020). Dialogisk pædagogik</w:t>
      </w:r>
      <w:r w:rsidRPr="00354057">
        <w:rPr>
          <w:rFonts w:ascii="Calibri" w:eastAsia="Times New Roman" w:hAnsi="Calibri" w:cs="Calibri"/>
          <w:color w:val="3A3A3A"/>
          <w:sz w:val="24"/>
          <w:szCs w:val="24"/>
          <w:lang w:val="da-DK"/>
        </w:rPr>
        <w:t xml:space="preserve"> som deltagende </w:t>
      </w:r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læring. I O.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Dysthe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, I. J. Ness &amp; P. O. Kirkegaard,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da-DK"/>
        </w:rPr>
        <w:t>Dialogisk pædagogik, kreativitet og læring</w:t>
      </w:r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 (C. H.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Rickmann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 &amp; L.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Rindholt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, Trans.; 1. udgave). Klim. </w:t>
      </w:r>
    </w:p>
    <w:p w14:paraId="7011093C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Flatås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, R. M. (2022).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da-DK"/>
        </w:rPr>
        <w:t>Leselyst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da-DK"/>
        </w:rPr>
        <w:t>! Aktiviteter og øvelser</w:t>
      </w:r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 (1.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da-DK"/>
        </w:rPr>
        <w:t>utgave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da-DK"/>
        </w:rPr>
        <w:t xml:space="preserve">). </w:t>
      </w:r>
      <w:r w:rsidRPr="00354057">
        <w:rPr>
          <w:rFonts w:ascii="Calibri" w:eastAsia="Times New Roman" w:hAnsi="Calibri" w:cs="Calibri"/>
          <w:sz w:val="24"/>
          <w:szCs w:val="24"/>
        </w:rPr>
        <w:t xml:space="preserve">Fagbokforlaget. </w:t>
      </w:r>
    </w:p>
    <w:p w14:paraId="589C3224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Frønes, T. S. &amp; Roe, A. (2020). Hva skjer i norsktimene? Elevers oppfatning av norskundervisningen på skolen. I T. S. Frønes &amp; F. Jensen (2020), </w:t>
      </w:r>
      <w:hyperlink r:id="rId5">
        <w:r w:rsidRPr="00354057">
          <w:rPr>
            <w:rStyle w:val="Hyperkobling"/>
            <w:rFonts w:ascii="Calibri" w:eastAsia="Times New Roman" w:hAnsi="Calibri" w:cs="Calibri"/>
            <w:sz w:val="24"/>
            <w:szCs w:val="24"/>
          </w:rPr>
          <w:t>Like muligheter til god leseforståelse? | Bøker (idunn.no)</w:t>
        </w:r>
      </w:hyperlink>
    </w:p>
    <w:p w14:paraId="7B3C65C4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Gabrielsen, I. L. &amp; </w:t>
      </w:r>
      <w:proofErr w:type="spellStart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>Blikstad</w:t>
      </w:r>
      <w:proofErr w:type="spellEnd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-Balas, M. (2020). Hvilken litteratur møter elevene i norskfaget? </w:t>
      </w:r>
      <w:r w:rsidRPr="00354057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>Edda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107(2). </w:t>
      </w:r>
    </w:p>
    <w:p w14:paraId="57191679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354057">
        <w:rPr>
          <w:rFonts w:ascii="Calibri" w:eastAsia="Times New Roman" w:hAnsi="Calibri" w:cs="Calibri"/>
          <w:sz w:val="24"/>
          <w:szCs w:val="24"/>
        </w:rPr>
        <w:t xml:space="preserve">Hennig, Å. (2020). Litterær faglighet i en samtale om Roy Jacobsens </w:t>
      </w:r>
      <w:proofErr w:type="gramStart"/>
      <w:r w:rsidRPr="00354057">
        <w:rPr>
          <w:rFonts w:ascii="Calibri" w:eastAsia="Times New Roman" w:hAnsi="Calibri" w:cs="Calibri"/>
          <w:sz w:val="24"/>
          <w:szCs w:val="24"/>
        </w:rPr>
        <w:t>novelle ”Brønnen</w:t>
      </w:r>
      <w:proofErr w:type="gramEnd"/>
      <w:r w:rsidRPr="00354057">
        <w:rPr>
          <w:rFonts w:ascii="Calibri" w:eastAsia="Times New Roman" w:hAnsi="Calibri" w:cs="Calibri"/>
          <w:sz w:val="24"/>
          <w:szCs w:val="24"/>
        </w:rPr>
        <w:t xml:space="preserve">”. </w:t>
      </w:r>
      <w:r w:rsidRPr="00354057">
        <w:rPr>
          <w:rFonts w:ascii="Calibri" w:eastAsia="Times New Roman" w:hAnsi="Calibri" w:cs="Calibri"/>
          <w:i/>
          <w:iCs/>
          <w:sz w:val="24"/>
          <w:szCs w:val="24"/>
        </w:rPr>
        <w:t xml:space="preserve">Learning Tech – Tidsskrift for læremidler,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</w:rPr>
        <w:t>didaktik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</w:rPr>
        <w:t xml:space="preserve"> og teknologi</w:t>
      </w:r>
      <w:r w:rsidRPr="00354057">
        <w:rPr>
          <w:rFonts w:ascii="Calibri" w:eastAsia="Times New Roman" w:hAnsi="Calibri" w:cs="Calibri"/>
          <w:sz w:val="24"/>
          <w:szCs w:val="24"/>
        </w:rPr>
        <w:t xml:space="preserve">, (7), 130-153.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</w:rPr>
        <w:t>DOI</w:t>
      </w:r>
      <w:proofErr w:type="spellEnd"/>
      <w:r w:rsidRPr="00354057">
        <w:rPr>
          <w:rFonts w:ascii="Calibri" w:eastAsia="Times New Roman" w:hAnsi="Calibri" w:cs="Calibri"/>
          <w:sz w:val="24"/>
          <w:szCs w:val="24"/>
        </w:rPr>
        <w:t xml:space="preserve"> 10.7146/</w:t>
      </w:r>
      <w:proofErr w:type="gramStart"/>
      <w:r w:rsidRPr="00354057">
        <w:rPr>
          <w:rFonts w:ascii="Calibri" w:eastAsia="Times New Roman" w:hAnsi="Calibri" w:cs="Calibri"/>
          <w:sz w:val="24"/>
          <w:szCs w:val="24"/>
        </w:rPr>
        <w:t>lt.v</w:t>
      </w:r>
      <w:proofErr w:type="gramEnd"/>
      <w:r w:rsidRPr="00354057">
        <w:rPr>
          <w:rFonts w:ascii="Calibri" w:eastAsia="Times New Roman" w:hAnsi="Calibri" w:cs="Calibri"/>
          <w:sz w:val="24"/>
          <w:szCs w:val="24"/>
        </w:rPr>
        <w:t>5i7.114856.</w:t>
      </w:r>
    </w:p>
    <w:p w14:paraId="78800CF9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proofErr w:type="spellStart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>Holmin</w:t>
      </w:r>
      <w:proofErr w:type="spellEnd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, I. R. &amp; Wicklund, B. (2023). 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Hvordan undervise om samisk litteratur i norskfaget? </w:t>
      </w:r>
      <w:r w:rsidRPr="00354057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</w:rPr>
        <w:t xml:space="preserve">Norsklæreren, 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>2023(2), 24–29.</w:t>
      </w:r>
    </w:p>
    <w:p w14:paraId="637EB7AC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</w:rPr>
      </w:pPr>
      <w:r w:rsidRPr="00354057">
        <w:rPr>
          <w:rFonts w:ascii="Calibri" w:eastAsia="Times New Roman" w:hAnsi="Calibri" w:cs="Calibri"/>
          <w:sz w:val="24"/>
          <w:szCs w:val="24"/>
        </w:rPr>
        <w:t xml:space="preserve">Kverndokken, K. (2024). </w:t>
      </w:r>
      <w:r w:rsidRPr="00354057">
        <w:rPr>
          <w:rFonts w:ascii="Calibri" w:eastAsia="Times New Roman" w:hAnsi="Calibri" w:cs="Calibri"/>
          <w:color w:val="3A3A3A"/>
          <w:sz w:val="24"/>
          <w:szCs w:val="24"/>
        </w:rPr>
        <w:t>"</w:t>
      </w:r>
      <w:r w:rsidRPr="00354057">
        <w:rPr>
          <w:rFonts w:ascii="Calibri" w:eastAsia="Times New Roman" w:hAnsi="Calibri" w:cs="Calibri"/>
          <w:sz w:val="24"/>
          <w:szCs w:val="24"/>
        </w:rPr>
        <w:t>Love gifts</w:t>
      </w:r>
      <w:r w:rsidRPr="00354057">
        <w:rPr>
          <w:rFonts w:ascii="Calibri" w:eastAsia="Times New Roman" w:hAnsi="Calibri" w:cs="Calibri"/>
          <w:color w:val="3A3A3A"/>
          <w:sz w:val="24"/>
          <w:szCs w:val="24"/>
        </w:rPr>
        <w:t xml:space="preserve">" til menneskene. Om muntlige fortellinger, muntlige fortellere og elevers muntlige </w:t>
      </w:r>
      <w:proofErr w:type="spellStart"/>
      <w:r w:rsidRPr="00354057">
        <w:rPr>
          <w:rFonts w:ascii="Calibri" w:eastAsia="Times New Roman" w:hAnsi="Calibri" w:cs="Calibri"/>
          <w:color w:val="3A3A3A"/>
          <w:sz w:val="24"/>
          <w:szCs w:val="24"/>
        </w:rPr>
        <w:t>fortellingsskaping</w:t>
      </w:r>
      <w:proofErr w:type="spellEnd"/>
      <w:r w:rsidRPr="00354057">
        <w:rPr>
          <w:rFonts w:ascii="Calibri" w:eastAsia="Times New Roman" w:hAnsi="Calibri" w:cs="Calibri"/>
          <w:color w:val="3A3A3A"/>
          <w:sz w:val="24"/>
          <w:szCs w:val="24"/>
        </w:rPr>
        <w:t xml:space="preserve">. I K. </w:t>
      </w:r>
      <w:r w:rsidRPr="00354057">
        <w:rPr>
          <w:rFonts w:ascii="Calibri" w:eastAsia="Times New Roman" w:hAnsi="Calibri" w:cs="Calibri"/>
          <w:sz w:val="24"/>
          <w:szCs w:val="24"/>
        </w:rPr>
        <w:t xml:space="preserve">Kverndokken &amp; J. O. Bakke (Red.), </w:t>
      </w:r>
      <w:r w:rsidRPr="00354057">
        <w:rPr>
          <w:rFonts w:ascii="Calibri" w:eastAsia="Times New Roman" w:hAnsi="Calibri" w:cs="Calibri"/>
          <w:i/>
          <w:iCs/>
          <w:sz w:val="24"/>
          <w:szCs w:val="24"/>
        </w:rPr>
        <w:t>101 måter å fremme muntlige ferdigheter på. En teoretisk og praktisk muntlighetsdidaktikk</w:t>
      </w:r>
      <w:r w:rsidRPr="00354057">
        <w:rPr>
          <w:rFonts w:ascii="Calibri" w:eastAsia="Times New Roman" w:hAnsi="Calibri" w:cs="Calibri"/>
          <w:sz w:val="24"/>
          <w:szCs w:val="24"/>
        </w:rPr>
        <w:t xml:space="preserve"> (2. utgave). Fagbokforlaget.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0F592E0F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</w:pP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Kvistad, T. H., </w:t>
      </w:r>
      <w:proofErr w:type="spellStart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>Kjelaas</w:t>
      </w:r>
      <w:proofErr w:type="spellEnd"/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I., &amp; Matre, S. (2021). Forhandling om tekst og kontekst. En studie av 7. trinns-elevers meningsforhandling i intendert utforskende gruppesamtaler. </w:t>
      </w:r>
      <w:r w:rsidRPr="00354057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en-GB"/>
        </w:rPr>
        <w:t>Nordic Journal of Literacy Research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, </w:t>
      </w:r>
      <w:r w:rsidRPr="00354057">
        <w:rPr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en-GB"/>
        </w:rPr>
        <w:t>7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(2), 39–56. </w:t>
      </w:r>
      <w:hyperlink r:id="rId6">
        <w:r w:rsidRPr="00354057">
          <w:rPr>
            <w:rStyle w:val="Hyperkobling"/>
            <w:rFonts w:ascii="Calibri" w:eastAsia="Times New Roman" w:hAnsi="Calibri" w:cs="Calibri"/>
            <w:sz w:val="24"/>
            <w:szCs w:val="24"/>
            <w:lang w:val="en-GB"/>
          </w:rPr>
          <w:t>https://doi.org/10.23865/njlr.v7.2761</w:t>
        </w:r>
      </w:hyperlink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t xml:space="preserve"> </w:t>
      </w:r>
    </w:p>
    <w:p w14:paraId="6B48B07E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en-GB"/>
        </w:rPr>
      </w:pP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Nambi, R. (2019). Secondary School Students’ Experiences with Reading Aloud in Uganda: A Case Study.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Journal of Language Teaching and Research</w:t>
      </w: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,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10</w:t>
      </w: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(2), 224–231. </w:t>
      </w:r>
      <w:hyperlink r:id="rId7">
        <w:r w:rsidRPr="00354057">
          <w:rPr>
            <w:rStyle w:val="Hyperkobling"/>
            <w:rFonts w:ascii="Calibri" w:eastAsia="Times New Roman" w:hAnsi="Calibri" w:cs="Calibri"/>
            <w:sz w:val="24"/>
            <w:szCs w:val="24"/>
            <w:lang w:val="en-GB"/>
          </w:rPr>
          <w:t>https://doi.org/10.17507/jltr.1002.02</w:t>
        </w:r>
      </w:hyperlink>
    </w:p>
    <w:p w14:paraId="5EA7B0B5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en-GB"/>
        </w:rPr>
      </w:pP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Penne, S. (2012).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Når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delen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erstatter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helheten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: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litterære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utdrag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og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norskfagets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lærebøker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. I S. Matre, D. K.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Sjøhelle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&amp; R. Solheim (Red.), 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Teorier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om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tekst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i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møte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med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skolens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lese-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og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skrivepraksiser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(s. 163–174).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Universitetsforlaget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>.</w:t>
      </w:r>
    </w:p>
    <w:p w14:paraId="6232EEFC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en-GB"/>
        </w:rPr>
      </w:pPr>
      <w:r w:rsidRPr="00354057">
        <w:rPr>
          <w:rFonts w:ascii="Calibri" w:eastAsia="Times New Roman" w:hAnsi="Calibri" w:cs="Calibri"/>
          <w:color w:val="000000" w:themeColor="text1"/>
          <w:sz w:val="24"/>
          <w:szCs w:val="24"/>
          <w:lang w:val="en-GB"/>
        </w:rPr>
        <w:lastRenderedPageBreak/>
        <w:t xml:space="preserve">Roe, A. (2020). 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Elevenes lesevaner og holdninger til lesing. I T. S. Frønes &amp; F. Jensen, </w:t>
      </w:r>
      <w:hyperlink r:id="rId8">
        <w:r w:rsidRPr="00354057">
          <w:rPr>
            <w:rStyle w:val="Hyperkobling"/>
            <w:rFonts w:ascii="Calibri" w:eastAsia="Times New Roman" w:hAnsi="Calibri" w:cs="Calibri"/>
            <w:sz w:val="24"/>
            <w:szCs w:val="24"/>
          </w:rPr>
          <w:t xml:space="preserve">Like muligheter til god leseforståelse? </w:t>
        </w:r>
        <w:r w:rsidRPr="00354057">
          <w:rPr>
            <w:rStyle w:val="Hyperkobling"/>
            <w:rFonts w:ascii="Calibri" w:eastAsia="Times New Roman" w:hAnsi="Calibri" w:cs="Calibri"/>
            <w:sz w:val="24"/>
            <w:szCs w:val="24"/>
            <w:lang w:val="en-GB"/>
          </w:rPr>
          <w:t xml:space="preserve">| </w:t>
        </w:r>
        <w:proofErr w:type="spellStart"/>
        <w:r w:rsidRPr="00354057">
          <w:rPr>
            <w:rStyle w:val="Hyperkobling"/>
            <w:rFonts w:ascii="Calibri" w:eastAsia="Times New Roman" w:hAnsi="Calibri" w:cs="Calibri"/>
            <w:sz w:val="24"/>
            <w:szCs w:val="24"/>
            <w:lang w:val="en-GB"/>
          </w:rPr>
          <w:t>Bøker</w:t>
        </w:r>
        <w:proofErr w:type="spellEnd"/>
        <w:r w:rsidRPr="00354057">
          <w:rPr>
            <w:rStyle w:val="Hyperkobling"/>
            <w:rFonts w:ascii="Calibri" w:eastAsia="Times New Roman" w:hAnsi="Calibri" w:cs="Calibri"/>
            <w:sz w:val="24"/>
            <w:szCs w:val="24"/>
            <w:lang w:val="en-GB"/>
          </w:rPr>
          <w:t xml:space="preserve"> (idunn.no)</w:t>
        </w:r>
      </w:hyperlink>
    </w:p>
    <w:p w14:paraId="57073494" w14:textId="77777777" w:rsidR="00354057" w:rsidRPr="00354057" w:rsidRDefault="00354057" w:rsidP="00354057">
      <w:pPr>
        <w:spacing w:after="0" w:line="276" w:lineRule="auto"/>
        <w:ind w:left="709" w:hanging="709"/>
        <w:rPr>
          <w:rFonts w:ascii="Calibri" w:eastAsia="Times New Roman" w:hAnsi="Calibri" w:cs="Calibri"/>
          <w:sz w:val="24"/>
          <w:szCs w:val="24"/>
          <w:lang w:val="nn-NO"/>
        </w:rPr>
      </w:pP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Tønnessen, E. S. (2007). </w:t>
      </w:r>
      <w:r w:rsidRPr="00354057">
        <w:rPr>
          <w:rFonts w:ascii="Calibri" w:eastAsia="Times New Roman" w:hAnsi="Calibri" w:cs="Calibri"/>
          <w:sz w:val="24"/>
          <w:szCs w:val="24"/>
        </w:rPr>
        <w:t xml:space="preserve">Bøker for hver enkelt og for fellesskapet.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Loggskriving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og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høytlesing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. I H.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Dahll-Larssøn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, E. S. Tønnessen &amp; M. </w:t>
      </w:r>
      <w:proofErr w:type="spellStart"/>
      <w:r w:rsidRPr="00354057">
        <w:rPr>
          <w:rFonts w:ascii="Calibri" w:eastAsia="Times New Roman" w:hAnsi="Calibri" w:cs="Calibri"/>
          <w:sz w:val="24"/>
          <w:szCs w:val="24"/>
          <w:lang w:val="en-GB"/>
        </w:rPr>
        <w:t>Lillesvangstu</w:t>
      </w:r>
      <w:proofErr w:type="spellEnd"/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,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Inn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i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teksten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–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ut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i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livet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.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Nøkler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til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leseglede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og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litterær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 xml:space="preserve"> </w:t>
      </w:r>
      <w:proofErr w:type="spellStart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kompetanse</w:t>
      </w:r>
      <w:proofErr w:type="spellEnd"/>
      <w:r w:rsidRPr="00354057">
        <w:rPr>
          <w:rFonts w:ascii="Calibri" w:eastAsia="Times New Roman" w:hAnsi="Calibri" w:cs="Calibri"/>
          <w:i/>
          <w:iCs/>
          <w:sz w:val="24"/>
          <w:szCs w:val="24"/>
          <w:lang w:val="en-GB"/>
        </w:rPr>
        <w:t>: Vol. nr. 169</w:t>
      </w:r>
      <w:r w:rsidRPr="00354057">
        <w:rPr>
          <w:rFonts w:ascii="Calibri" w:eastAsia="Times New Roman" w:hAnsi="Calibri" w:cs="Calibri"/>
          <w:sz w:val="24"/>
          <w:szCs w:val="24"/>
          <w:lang w:val="en-GB"/>
        </w:rPr>
        <w:t xml:space="preserve"> (s. 196). </w:t>
      </w:r>
      <w:r w:rsidRPr="00354057">
        <w:rPr>
          <w:rFonts w:ascii="Calibri" w:eastAsia="Times New Roman" w:hAnsi="Calibri" w:cs="Calibri"/>
          <w:sz w:val="24"/>
          <w:szCs w:val="24"/>
          <w:lang w:val="nn-NO"/>
        </w:rPr>
        <w:t>Fagbokforlaget.</w:t>
      </w:r>
    </w:p>
    <w:p w14:paraId="4A78F558" w14:textId="77777777" w:rsidR="00354057" w:rsidRPr="00354057" w:rsidRDefault="00354057" w:rsidP="00354057">
      <w:pPr>
        <w:spacing w:after="0" w:line="276" w:lineRule="auto"/>
        <w:rPr>
          <w:rFonts w:ascii="Calibri" w:eastAsia="Times New Roman" w:hAnsi="Calibri" w:cs="Calibri"/>
          <w:sz w:val="24"/>
          <w:szCs w:val="24"/>
          <w:lang w:val="nn-NO"/>
        </w:rPr>
      </w:pPr>
      <w:r w:rsidRPr="00354057">
        <w:rPr>
          <w:rStyle w:val="normaltextrun"/>
          <w:rFonts w:ascii="Calibri" w:eastAsia="Times New Roman" w:hAnsi="Calibri" w:cs="Calibri"/>
          <w:color w:val="000000" w:themeColor="text1"/>
          <w:sz w:val="24"/>
          <w:szCs w:val="24"/>
          <w:lang w:val="nn-NO"/>
        </w:rPr>
        <w:t xml:space="preserve">Utdanningsdirektoratet (2024). </w:t>
      </w:r>
      <w:r w:rsidRPr="00354057">
        <w:rPr>
          <w:rStyle w:val="normaltextrun"/>
          <w:rFonts w:ascii="Calibri" w:eastAsia="Times New Roman" w:hAnsi="Calibri" w:cs="Calibri"/>
          <w:i/>
          <w:iCs/>
          <w:color w:val="000000" w:themeColor="text1"/>
          <w:sz w:val="24"/>
          <w:szCs w:val="24"/>
          <w:lang w:val="nn-NO"/>
        </w:rPr>
        <w:t>Læreplan i norsk</w:t>
      </w:r>
      <w:r w:rsidRPr="00354057">
        <w:rPr>
          <w:rStyle w:val="normaltextrun"/>
          <w:rFonts w:ascii="Calibri" w:eastAsia="Times New Roman" w:hAnsi="Calibri" w:cs="Calibri"/>
          <w:color w:val="000000" w:themeColor="text1"/>
          <w:sz w:val="24"/>
          <w:szCs w:val="24"/>
          <w:lang w:val="nn-NO"/>
        </w:rPr>
        <w:t xml:space="preserve">. </w:t>
      </w:r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Fastsatt som forskrift. </w:t>
      </w:r>
      <w:hyperlink r:id="rId9" w:history="1">
        <w:r w:rsidRPr="00354057">
          <w:rPr>
            <w:rStyle w:val="Hyperkobling"/>
            <w:rFonts w:ascii="Calibri" w:eastAsia="Times New Roman" w:hAnsi="Calibri" w:cs="Calibri"/>
            <w:sz w:val="24"/>
            <w:szCs w:val="24"/>
          </w:rPr>
          <w:t>https://www.udir.no/lk20/nor01-07</w:t>
        </w:r>
      </w:hyperlink>
      <w:r w:rsidRPr="0035405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1D691A2C" w14:textId="77777777" w:rsidR="00354057" w:rsidRPr="00354057" w:rsidRDefault="00354057" w:rsidP="00354057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i/>
          <w:iCs/>
          <w:sz w:val="24"/>
          <w:szCs w:val="24"/>
          <w:lang w:val="nn-NO"/>
        </w:rPr>
      </w:pPr>
      <w:r w:rsidRPr="00354057">
        <w:rPr>
          <w:rFonts w:ascii="Calibri" w:eastAsia="Times New Roman" w:hAnsi="Calibri" w:cs="Calibri"/>
          <w:sz w:val="24"/>
          <w:szCs w:val="24"/>
          <w:lang w:val="nn-NO"/>
        </w:rPr>
        <w:t xml:space="preserve">Aase, L. (2005). Litterære samtaler. I B. K. Nicolaysen &amp; L. Aase (Red.), </w:t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nn-NO"/>
        </w:rPr>
        <w:t xml:space="preserve">Kulturmøte i </w:t>
      </w:r>
    </w:p>
    <w:p w14:paraId="641DBE5B" w14:textId="77777777" w:rsidR="00354057" w:rsidRPr="00354057" w:rsidRDefault="00354057" w:rsidP="00354057">
      <w:pPr>
        <w:spacing w:after="0" w:line="276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val="nn-NO"/>
        </w:rPr>
      </w:pPr>
      <w:r w:rsidRPr="00354057">
        <w:rPr>
          <w:rFonts w:ascii="Calibri" w:eastAsia="Times New Roman" w:hAnsi="Calibri" w:cs="Calibri"/>
          <w:i/>
          <w:iCs/>
          <w:sz w:val="24"/>
          <w:szCs w:val="24"/>
          <w:lang w:val="nn-NO"/>
        </w:rPr>
        <w:t xml:space="preserve"> </w:t>
      </w:r>
      <w:r w:rsidRPr="00354057">
        <w:rPr>
          <w:rFonts w:ascii="Calibri" w:hAnsi="Calibri" w:cs="Calibri"/>
          <w:lang w:val="nn-NO"/>
        </w:rPr>
        <w:tab/>
      </w:r>
      <w:r w:rsidRPr="00354057">
        <w:rPr>
          <w:rFonts w:ascii="Calibri" w:eastAsia="Times New Roman" w:hAnsi="Calibri" w:cs="Calibri"/>
          <w:i/>
          <w:iCs/>
          <w:sz w:val="24"/>
          <w:szCs w:val="24"/>
          <w:lang w:val="nn-NO"/>
        </w:rPr>
        <w:t>tekstar. Litteraturdidaktiske perspektiv</w:t>
      </w:r>
      <w:r w:rsidRPr="00354057">
        <w:rPr>
          <w:rFonts w:ascii="Calibri" w:eastAsia="Times New Roman" w:hAnsi="Calibri" w:cs="Calibri"/>
          <w:sz w:val="24"/>
          <w:szCs w:val="24"/>
          <w:lang w:val="nn-NO"/>
        </w:rPr>
        <w:t xml:space="preserve">. Samlaget. </w:t>
      </w:r>
    </w:p>
    <w:p w14:paraId="1A764985" w14:textId="6665847D" w:rsidR="00F6793D" w:rsidRPr="00354057" w:rsidRDefault="00F6793D" w:rsidP="00354057">
      <w:pPr>
        <w:pStyle w:val="NormalWeb"/>
        <w:rPr>
          <w:rFonts w:ascii="Calibri" w:hAnsi="Calibri" w:cs="Calibri"/>
          <w:lang w:val="nn-NO"/>
        </w:rPr>
      </w:pPr>
    </w:p>
    <w:sectPr w:rsidR="00F6793D" w:rsidRPr="0035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sap Condensed 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3D"/>
    <w:rsid w:val="0001434E"/>
    <w:rsid w:val="00032034"/>
    <w:rsid w:val="000A490F"/>
    <w:rsid w:val="000F6CBA"/>
    <w:rsid w:val="00292302"/>
    <w:rsid w:val="00306CE6"/>
    <w:rsid w:val="003207B9"/>
    <w:rsid w:val="00354057"/>
    <w:rsid w:val="00590D36"/>
    <w:rsid w:val="007E453D"/>
    <w:rsid w:val="008B6A66"/>
    <w:rsid w:val="00A11298"/>
    <w:rsid w:val="00AD6E18"/>
    <w:rsid w:val="00B13A45"/>
    <w:rsid w:val="00B30AF7"/>
    <w:rsid w:val="00B85922"/>
    <w:rsid w:val="00F6793D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4A9ED9"/>
  <w15:chartTrackingRefBased/>
  <w15:docId w15:val="{81D82756-BE8C-E347-9967-3CF04B0A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53D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E453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E453D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E453D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E453D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E453D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E453D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E4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E4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E4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E453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E453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E453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E453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E453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E453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E4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4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E453D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4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E453D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7E453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E453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7E453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E4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E453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E453D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7E453D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E453D"/>
    <w:rPr>
      <w:b/>
      <w:bCs/>
    </w:rPr>
  </w:style>
  <w:style w:type="paragraph" w:customStyle="1" w:styleId="JOBogYF">
    <w:name w:val="JOB og YF"/>
    <w:basedOn w:val="Normal"/>
    <w:qFormat/>
    <w:rsid w:val="008B6A66"/>
    <w:pPr>
      <w:spacing w:before="120" w:after="120"/>
    </w:pPr>
    <w:rPr>
      <w:rFonts w:ascii="Times New Roman" w:hAnsi="Times New Roman"/>
      <w:color w:val="7030A0"/>
      <w:kern w:val="0"/>
      <w:sz w:val="24"/>
      <w14:ligatures w14:val="none"/>
    </w:rPr>
  </w:style>
  <w:style w:type="character" w:customStyle="1" w:styleId="eop">
    <w:name w:val="eop"/>
    <w:basedOn w:val="Standardskriftforavsnitt"/>
    <w:rsid w:val="00AD6E18"/>
  </w:style>
  <w:style w:type="character" w:styleId="Merknadsreferanse">
    <w:name w:val="annotation reference"/>
    <w:basedOn w:val="Standardskriftforavsnitt"/>
    <w:uiPriority w:val="99"/>
    <w:semiHidden/>
    <w:unhideWhenUsed/>
    <w:rsid w:val="000A49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A490F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A490F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0A4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0A490F"/>
  </w:style>
  <w:style w:type="character" w:customStyle="1" w:styleId="tabchar">
    <w:name w:val="tabchar"/>
    <w:basedOn w:val="Standardskriftforavsnitt"/>
    <w:rsid w:val="000A490F"/>
  </w:style>
  <w:style w:type="paragraph" w:customStyle="1" w:styleId="Default">
    <w:name w:val="Default"/>
    <w:rsid w:val="000A490F"/>
    <w:pPr>
      <w:autoSpaceDE w:val="0"/>
      <w:autoSpaceDN w:val="0"/>
      <w:adjustRightInd w:val="0"/>
    </w:pPr>
    <w:rPr>
      <w:rFonts w:ascii="Asap Condensed SemiBold" w:hAnsi="Asap Condensed SemiBold" w:cs="Asap Condensed SemiBold"/>
      <w:color w:val="000000"/>
      <w:kern w:val="0"/>
    </w:rPr>
  </w:style>
  <w:style w:type="character" w:customStyle="1" w:styleId="apple-converted-space">
    <w:name w:val="apple-converted-space"/>
    <w:basedOn w:val="Standardskriftforavsnitt"/>
    <w:rsid w:val="00032034"/>
  </w:style>
  <w:style w:type="paragraph" w:styleId="NormalWeb">
    <w:name w:val="Normal (Web)"/>
    <w:basedOn w:val="Normal"/>
    <w:uiPriority w:val="99"/>
    <w:unhideWhenUsed/>
    <w:rsid w:val="0003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unn.no/doi/book/10.18261/9788215040066-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7507/jltr.1002.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23865/njlr.v7.276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dunn.no/doi/book/10.18261/9788215040066-20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i.org/10.18261/ISSN1891-5949-2015-03-04-09" TargetMode="External"/><Relationship Id="rId9" Type="http://schemas.openxmlformats.org/officeDocument/2006/relationships/hyperlink" Target="https://www.udir.no/lk20/nor01-0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593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 Frøysnes Karlsen</cp:lastModifiedBy>
  <cp:revision>9</cp:revision>
  <dcterms:created xsi:type="dcterms:W3CDTF">2024-09-12T11:19:00Z</dcterms:created>
  <dcterms:modified xsi:type="dcterms:W3CDTF">2025-04-08T10:18:00Z</dcterms:modified>
</cp:coreProperties>
</file>